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1975C8C3" w:rsidR="00F422D3" w:rsidRDefault="00F422D3" w:rsidP="00B42F40">
      <w:pPr>
        <w:pStyle w:val="Titul2"/>
      </w:pPr>
      <w:r>
        <w:t>Název zakázky: „</w:t>
      </w:r>
      <w:r w:rsidR="00F00EAE">
        <w:t xml:space="preserve">Čištění štěrkového lože v úseku </w:t>
      </w:r>
      <w:proofErr w:type="gramStart"/>
      <w:r w:rsidR="00F00EAE">
        <w:t>Klatovy - Přeštice</w:t>
      </w:r>
      <w:proofErr w:type="gramEnd"/>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F00EAE">
        <w:tab/>
      </w:r>
      <w:r w:rsidRPr="00F00EAE">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2A02C740" w:rsidR="00FB598F" w:rsidRDefault="00FB598F" w:rsidP="00FB598F">
      <w:pPr>
        <w:pStyle w:val="Textbezodsazen"/>
        <w:spacing w:after="0"/>
      </w:pPr>
      <w:r w:rsidRPr="00F00EAE">
        <w:t xml:space="preserve">evidenční číslo v RVZ: </w:t>
      </w:r>
      <w:r w:rsidR="00527E9E" w:rsidRPr="00F00EAE">
        <w:t>6542</w:t>
      </w:r>
      <w:r w:rsidR="00E1582C" w:rsidRPr="00F00EAE">
        <w:t>3</w:t>
      </w:r>
      <w:r w:rsidR="00F00EAE" w:rsidRPr="00F00EAE">
        <w:t>015</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99D7DF0" w:rsidR="00F422D3"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29F553BB" w14:textId="77777777" w:rsidR="00F00EAE" w:rsidRPr="00B42F40" w:rsidRDefault="00F00EAE" w:rsidP="00B42F40">
      <w:pPr>
        <w:pStyle w:val="Textbezodsazen"/>
      </w:pP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582F947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00EAE">
        <w:t xml:space="preserve">65423015 </w:t>
      </w:r>
      <w:r w:rsidRPr="00F97DBD">
        <w:t xml:space="preserve">svůj úmysl zadat </w:t>
      </w:r>
      <w:r>
        <w:t xml:space="preserve">ve výběrovém řízení </w:t>
      </w:r>
      <w:r w:rsidRPr="00F97DBD">
        <w:t xml:space="preserve">veřejnou zakázku s názvem </w:t>
      </w:r>
      <w:r w:rsidR="00F00EAE">
        <w:rPr>
          <w:b/>
        </w:rPr>
        <w:t>„Čištění kolejového lože v úseku Klatovy – Přeštice“</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F00EAE">
        <w:t xml:space="preserve">Rekapitulace </w:t>
      </w:r>
      <w:r w:rsidR="00F24489" w:rsidRPr="00F00EAE">
        <w:t xml:space="preserve">Ceny Díla dle </w:t>
      </w:r>
      <w:r w:rsidR="00A40CD0" w:rsidRPr="00F00EAE">
        <w:t xml:space="preserve">objektů </w:t>
      </w:r>
      <w:r w:rsidR="00F24489" w:rsidRPr="00F00EAE">
        <w:t xml:space="preserve">stavebních </w:t>
      </w:r>
      <w:r w:rsidR="00A40CD0" w:rsidRPr="00F00EAE">
        <w:t xml:space="preserve">částí </w:t>
      </w:r>
      <w:r w:rsidR="00F24489" w:rsidRPr="00F00EAE">
        <w:t xml:space="preserve">(SO) a </w:t>
      </w:r>
      <w:r w:rsidR="00A40CD0" w:rsidRPr="00F00EAE">
        <w:t xml:space="preserve">objektů </w:t>
      </w:r>
      <w:r w:rsidR="00F24489" w:rsidRPr="00F00EAE">
        <w:t xml:space="preserve">provozních </w:t>
      </w:r>
      <w:r w:rsidR="00A40CD0" w:rsidRPr="00F00EAE">
        <w:t xml:space="preserve">částí </w:t>
      </w:r>
      <w:r w:rsidR="00F24489" w:rsidRPr="00F00EAE">
        <w:t>(PS) je uveden</w:t>
      </w:r>
      <w:r w:rsidRPr="00F00EAE">
        <w:t>a</w:t>
      </w:r>
      <w:r w:rsidR="00F24489" w:rsidRPr="00F00EAE">
        <w:t xml:space="preserve"> v </w:t>
      </w:r>
      <w:hyperlink w:anchor="ListAnnex04" w:history="1">
        <w:r w:rsidR="00F24489" w:rsidRPr="00F00EAE">
          <w:rPr>
            <w:rStyle w:val="Hypertextovodkaz"/>
            <w:rFonts w:cs="Calibri"/>
            <w:color w:val="auto"/>
          </w:rPr>
          <w:t>Příloze č. 4</w:t>
        </w:r>
      </w:hyperlink>
      <w:r w:rsidR="00F24489" w:rsidRPr="00F00EAE">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5FFA9E33" w:rsidR="00FB598F" w:rsidRPr="00F24489" w:rsidRDefault="00856B99" w:rsidP="00F24489">
      <w:pPr>
        <w:pStyle w:val="Textbezslovn"/>
        <w:rPr>
          <w:b/>
        </w:rPr>
      </w:pPr>
      <w:r w:rsidRPr="00F00EAE">
        <w:rPr>
          <w:b/>
        </w:rPr>
        <w:t>Termín</w:t>
      </w:r>
      <w:r w:rsidR="00FB598F" w:rsidRPr="00F00EAE">
        <w:rPr>
          <w:b/>
        </w:rPr>
        <w:t xml:space="preserve"> dokončení díla je: </w:t>
      </w:r>
      <w:r w:rsidR="00F00EAE" w:rsidRPr="00F00EAE">
        <w:rPr>
          <w:b/>
        </w:rPr>
        <w:t>30. 11. 2023</w:t>
      </w:r>
    </w:p>
    <w:p w14:paraId="433B5167" w14:textId="3776CB8D" w:rsidR="00F24489" w:rsidRDefault="00F00EAE"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24C90D75" w:rsidR="00F24489" w:rsidRDefault="00F00EAE" w:rsidP="00F24489">
      <w:pPr>
        <w:pStyle w:val="Textbezslovn"/>
      </w:pPr>
      <w:r>
        <w:rPr>
          <w:highlight w:val="green"/>
        </w:rPr>
        <w:t>P</w:t>
      </w:r>
      <w:r w:rsidR="00F24489" w:rsidRPr="00301376">
        <w:rPr>
          <w:highlight w:val="green"/>
        </w:rPr>
        <w:t>ředání osvědčení o bezpečnosti zpracovaného</w:t>
      </w:r>
      <w:r w:rsidR="00F24489" w:rsidRPr="00301376">
        <w:rPr>
          <w:color w:val="FF0000"/>
          <w:highlight w:val="green"/>
        </w:rPr>
        <w:t xml:space="preserve"> </w:t>
      </w:r>
      <w:r w:rsidR="00F24489" w:rsidRPr="00301376">
        <w:rPr>
          <w:highlight w:val="green"/>
        </w:rPr>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301376">
        <w:rPr>
          <w:b/>
          <w:highlight w:val="green"/>
        </w:rPr>
        <w:t>6 měsíců</w:t>
      </w:r>
      <w:r w:rsidR="00F24489" w:rsidRPr="00301376">
        <w:rPr>
          <w:highlight w:val="green"/>
        </w:rPr>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227654F7" w:rsidR="00F24489" w:rsidRPr="00F00EAE" w:rsidRDefault="00F24489" w:rsidP="00F00EA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F00EAE">
        <w:t xml:space="preserve">Technickou specifikaci stavby s ohledem na její obsah, se toto ustanovení nepoužije. </w:t>
      </w:r>
    </w:p>
    <w:p w14:paraId="2F86487A" w14:textId="77777777" w:rsidR="00F24489" w:rsidRPr="00F00EAE" w:rsidRDefault="00F24489" w:rsidP="00F24489">
      <w:pPr>
        <w:pStyle w:val="Text1-1"/>
      </w:pPr>
      <w:r w:rsidRPr="00F00EAE">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Pr="003331C6" w:rsidRDefault="00214C3E" w:rsidP="00214C3E">
      <w:pPr>
        <w:pStyle w:val="Nadpis1-1"/>
      </w:pPr>
      <w:r w:rsidRPr="00214C3E">
        <w:t xml:space="preserve">ZÁRUKY, DALŠÍ USTANOVENÍ A ODLIŠNÁ USTANOVENÍ OD </w:t>
      </w:r>
      <w:r w:rsidRPr="003331C6">
        <w:t>OBCHODNÍCH PODMÍNEK</w:t>
      </w:r>
    </w:p>
    <w:p w14:paraId="0FA90FBF" w14:textId="4A3A26C4" w:rsidR="005F1A5C" w:rsidRPr="003331C6" w:rsidRDefault="005F1A5C" w:rsidP="003331C6">
      <w:pPr>
        <w:pStyle w:val="Text1-1"/>
      </w:pPr>
      <w:r w:rsidRPr="003331C6">
        <w:t xml:space="preserve">Objednatel nepožaduje předložení bankovní záruky za provedení Díla dle čl. 14 Obchodních podmínek ani bankovní záruky za odstranění vad dle čl. 15 Obchodních podmínek, ustanovení čl. </w:t>
      </w:r>
      <w:proofErr w:type="gramStart"/>
      <w:r w:rsidRPr="003331C6">
        <w:t>14,  čl.</w:t>
      </w:r>
      <w:proofErr w:type="gramEnd"/>
      <w:r w:rsidRPr="003331C6">
        <w:t xml:space="preserve">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2032B6">
        <w:lastRenderedPageBreak/>
        <w:t>činnosti při plnění veřejné zakázky musí být plněny přímo Zhotovitelem jeho vlastními prostředky</w:t>
      </w:r>
      <w:r>
        <w:t>.</w:t>
      </w:r>
    </w:p>
    <w:p w14:paraId="1F1249D4" w14:textId="77777777" w:rsidR="00A90618" w:rsidRPr="003331C6" w:rsidRDefault="00A90618" w:rsidP="00A90618">
      <w:pPr>
        <w:pStyle w:val="Text1-1"/>
      </w:pPr>
      <w:r w:rsidRPr="003331C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0C86E914" w:rsidR="00214C3E" w:rsidRDefault="00214C3E" w:rsidP="00214C3E">
      <w:pPr>
        <w:pStyle w:val="Text1-1"/>
      </w:pPr>
      <w:r>
        <w:t>V bodě 3.6.2 Obchodních podmínek se lhůta upravuje na sedm (7)</w:t>
      </w:r>
      <w:r w:rsidR="00E03192">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7ECFD8EC" w:rsidR="00214C3E" w:rsidRPr="00E03192" w:rsidRDefault="00214C3E" w:rsidP="00214C3E">
      <w:pPr>
        <w:pStyle w:val="Text1-1"/>
      </w:pPr>
      <w:bookmarkStart w:id="0" w:name="_Hlk98411341"/>
      <w:r w:rsidRPr="00E03192">
        <w:t>Ustanovení bodu 9.2 až 9.5 a bodu 9.7. Obchodních podmínek, stejně jako související ustanovení týkající se přejímacích zkoušek, se nepoužijí.</w:t>
      </w:r>
    </w:p>
    <w:bookmarkEnd w:id="0"/>
    <w:p w14:paraId="388BEDFD" w14:textId="77777777" w:rsidR="00214C3E" w:rsidRPr="00E03192" w:rsidRDefault="00214C3E" w:rsidP="00214C3E">
      <w:pPr>
        <w:pStyle w:val="Text1-1"/>
      </w:pPr>
      <w:r w:rsidRPr="00E03192">
        <w:t>V bodě 11.3 Obchodních podmínek se lhůta upravuje na tři (3) dny.</w:t>
      </w:r>
    </w:p>
    <w:p w14:paraId="6B35D614" w14:textId="77777777" w:rsidR="00214C3E" w:rsidRPr="00E03192" w:rsidRDefault="00214C3E" w:rsidP="00214C3E">
      <w:pPr>
        <w:pStyle w:val="Text1-1"/>
      </w:pPr>
      <w:r w:rsidRPr="00E03192">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E03192" w:rsidRDefault="005A6B21" w:rsidP="003C2D11">
      <w:pPr>
        <w:pStyle w:val="Text1-1"/>
      </w:pPr>
      <w:r w:rsidRPr="00E03192">
        <w:t xml:space="preserve">Bod 13.3. Obchodních podmínek se mění takto: </w:t>
      </w:r>
    </w:p>
    <w:p w14:paraId="50C21CB9" w14:textId="77777777" w:rsidR="00F2215F" w:rsidRPr="00E03192" w:rsidRDefault="00F2215F" w:rsidP="00F2215F">
      <w:pPr>
        <w:spacing w:after="200" w:line="276" w:lineRule="auto"/>
        <w:ind w:firstLine="709"/>
        <w:jc w:val="both"/>
        <w:rPr>
          <w:rFonts w:ascii="Verdana" w:hAnsi="Verdana" w:cstheme="minorHAnsi"/>
        </w:rPr>
      </w:pPr>
      <w:r w:rsidRPr="00E03192">
        <w:rPr>
          <w:rFonts w:ascii="Verdana" w:hAnsi="Verdana" w:cstheme="minorHAnsi"/>
        </w:rPr>
        <w:t>Daňové doklady, vč. všech příloh, budou zasílány následovně:</w:t>
      </w:r>
    </w:p>
    <w:p w14:paraId="41D4C5B7" w14:textId="77777777" w:rsidR="00F2215F" w:rsidRPr="00E03192" w:rsidRDefault="00F2215F" w:rsidP="00F2215F">
      <w:pPr>
        <w:pStyle w:val="Odstavecseseznamem"/>
        <w:numPr>
          <w:ilvl w:val="0"/>
          <w:numId w:val="41"/>
        </w:numPr>
        <w:spacing w:after="200" w:line="276" w:lineRule="auto"/>
        <w:contextualSpacing w:val="0"/>
        <w:jc w:val="both"/>
        <w:rPr>
          <w:rFonts w:ascii="Verdana" w:hAnsi="Verdana" w:cstheme="minorHAnsi"/>
        </w:rPr>
      </w:pPr>
      <w:r w:rsidRPr="00E03192">
        <w:rPr>
          <w:rFonts w:ascii="Verdana" w:hAnsi="Verdana" w:cstheme="minorHAnsi"/>
        </w:rPr>
        <w:t xml:space="preserve">v digitální podobě na e-mailovou adresu </w:t>
      </w:r>
      <w:hyperlink r:id="rId14" w:history="1">
        <w:r w:rsidRPr="00E03192">
          <w:rPr>
            <w:rStyle w:val="Hypertextovodkaz"/>
            <w:rFonts w:ascii="Verdana" w:hAnsi="Verdana" w:cstheme="minorHAnsi"/>
          </w:rPr>
          <w:t>ePodatelnaCFU@spravazeleznic.cz</w:t>
        </w:r>
      </w:hyperlink>
      <w:r w:rsidRPr="00E03192">
        <w:rPr>
          <w:rFonts w:ascii="Verdana" w:hAnsi="Verdana" w:cstheme="minorHAnsi"/>
        </w:rPr>
        <w:t>, nebo</w:t>
      </w:r>
    </w:p>
    <w:p w14:paraId="1AB1D586" w14:textId="77777777" w:rsidR="00F2215F" w:rsidRPr="00E03192" w:rsidRDefault="00F2215F" w:rsidP="00F2215F">
      <w:pPr>
        <w:pStyle w:val="Odstavecseseznamem"/>
        <w:numPr>
          <w:ilvl w:val="0"/>
          <w:numId w:val="41"/>
        </w:numPr>
        <w:spacing w:after="200" w:line="276" w:lineRule="auto"/>
        <w:contextualSpacing w:val="0"/>
        <w:jc w:val="both"/>
        <w:rPr>
          <w:rFonts w:ascii="Verdana" w:hAnsi="Verdana" w:cstheme="minorHAnsi"/>
        </w:rPr>
      </w:pPr>
      <w:r w:rsidRPr="00E03192">
        <w:rPr>
          <w:rFonts w:ascii="Verdana" w:hAnsi="Verdana" w:cstheme="minorHAnsi"/>
        </w:rPr>
        <w:t xml:space="preserve">v digitální podobě do datové schránky s identifikátorem </w:t>
      </w:r>
      <w:proofErr w:type="spellStart"/>
      <w:r w:rsidRPr="00E03192">
        <w:rPr>
          <w:rFonts w:ascii="Verdana" w:hAnsi="Verdana" w:cstheme="minorHAnsi"/>
        </w:rPr>
        <w:t>Uccchjm</w:t>
      </w:r>
      <w:proofErr w:type="spellEnd"/>
      <w:r w:rsidRPr="00E03192">
        <w:rPr>
          <w:rFonts w:ascii="Verdana" w:hAnsi="Verdana" w:cstheme="minorHAnsi"/>
        </w:rPr>
        <w:t>, nebo</w:t>
      </w:r>
    </w:p>
    <w:p w14:paraId="33593991" w14:textId="77777777" w:rsidR="00F2215F" w:rsidRPr="00E03192" w:rsidRDefault="00F2215F" w:rsidP="00F2215F">
      <w:pPr>
        <w:pStyle w:val="Odstavecseseznamem"/>
        <w:numPr>
          <w:ilvl w:val="0"/>
          <w:numId w:val="41"/>
        </w:numPr>
        <w:spacing w:after="200" w:line="276" w:lineRule="auto"/>
        <w:contextualSpacing w:val="0"/>
        <w:jc w:val="both"/>
        <w:rPr>
          <w:rFonts w:ascii="Verdana" w:hAnsi="Verdana" w:cstheme="minorHAnsi"/>
        </w:rPr>
      </w:pPr>
      <w:r w:rsidRPr="00E03192">
        <w:rPr>
          <w:rFonts w:ascii="Verdana" w:hAnsi="Verdana" w:cstheme="minorHAnsi"/>
        </w:rPr>
        <w:t xml:space="preserve">v listinné podobě na adresu Správa železnic, státní organizace, Centrální finanční účtárna Čechy, Náměstí Jana </w:t>
      </w:r>
      <w:proofErr w:type="spellStart"/>
      <w:r w:rsidRPr="00E03192">
        <w:rPr>
          <w:rFonts w:ascii="Verdana" w:hAnsi="Verdana" w:cstheme="minorHAnsi"/>
        </w:rPr>
        <w:t>Pernera</w:t>
      </w:r>
      <w:proofErr w:type="spellEnd"/>
      <w:r w:rsidRPr="00E03192">
        <w:rPr>
          <w:rFonts w:ascii="Verdana" w:hAnsi="Verdana" w:cstheme="minorHAnsi"/>
        </w:rPr>
        <w:t xml:space="preserve"> 217, 530 02 Pardubice. </w:t>
      </w:r>
    </w:p>
    <w:p w14:paraId="010238E3" w14:textId="77777777" w:rsidR="00F2215F" w:rsidRPr="00E03192" w:rsidRDefault="00F2215F" w:rsidP="00F2215F">
      <w:pPr>
        <w:ind w:left="709"/>
        <w:jc w:val="both"/>
        <w:rPr>
          <w:rFonts w:ascii="Verdana" w:hAnsi="Verdana" w:cstheme="minorHAnsi"/>
        </w:rPr>
      </w:pPr>
      <w:r w:rsidRPr="00E03192">
        <w:rPr>
          <w:rFonts w:ascii="Verdana" w:hAnsi="Verdana" w:cstheme="minorHAnsi"/>
        </w:rPr>
        <w:t>Objednatel upřednostňuje příjem těchto daňových dokladů v digitální podobě ve formátu PDF/A, ISO 19005, min. verze PDF/A-</w:t>
      </w:r>
      <w:proofErr w:type="gramStart"/>
      <w:r w:rsidRPr="00E03192">
        <w:rPr>
          <w:rFonts w:ascii="Verdana" w:hAnsi="Verdana" w:cstheme="minorHAnsi"/>
        </w:rPr>
        <w:t>2b</w:t>
      </w:r>
      <w:proofErr w:type="gramEnd"/>
      <w:r w:rsidRPr="00E03192">
        <w:rPr>
          <w:rFonts w:ascii="Verdana" w:hAnsi="Verdana" w:cstheme="minorHAnsi"/>
        </w:rPr>
        <w:t>, na výše uvedené emailové adrese.</w:t>
      </w:r>
    </w:p>
    <w:p w14:paraId="6B7A517F" w14:textId="75D10869" w:rsidR="00214C3E" w:rsidRDefault="00214C3E" w:rsidP="00214C3E">
      <w:pPr>
        <w:pStyle w:val="Text1-1"/>
      </w:pPr>
      <w:r w:rsidRPr="00E03192">
        <w:t>Bod 13.9 Obchodních podmínek se mění takto: Datem uskutečnění dílčích zdanitelných plnění na daňových dokladech vystavených Zhotovitelem bude vždy</w:t>
      </w:r>
      <w:r>
        <w:t xml:space="preserve">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lastRenderedPageBreak/>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w:t>
      </w:r>
      <w:r w:rsidRPr="00E03192">
        <w:rPr>
          <w:rStyle w:val="Tun"/>
          <w:b w:val="0"/>
        </w:rPr>
        <w:t xml:space="preserve">strávených při plnění pracovních úkolů souvisejících s realizací Díla zvlášť pro každou takovou osobu. Závazný vzor evidence zapojení znevýhodněných osob, včetně závazného vzoru pracovního výkazu, </w:t>
      </w:r>
      <w:proofErr w:type="gramStart"/>
      <w:r w:rsidRPr="00E03192">
        <w:rPr>
          <w:rStyle w:val="Tun"/>
          <w:b w:val="0"/>
        </w:rPr>
        <w:t>tvoří</w:t>
      </w:r>
      <w:proofErr w:type="gramEnd"/>
      <w:r w:rsidRPr="00E03192">
        <w:rPr>
          <w:rStyle w:val="Tun"/>
          <w:b w:val="0"/>
        </w:rPr>
        <w:t xml:space="preserve"> Přílohy č. </w:t>
      </w:r>
      <w:r w:rsidR="00737418" w:rsidRPr="00E03192">
        <w:rPr>
          <w:rStyle w:val="Tun"/>
          <w:b w:val="0"/>
        </w:rPr>
        <w:t>10 a 11</w:t>
      </w:r>
      <w:r w:rsidRPr="00E03192">
        <w:rPr>
          <w:rStyle w:val="Tun"/>
          <w:b w:val="0"/>
        </w:rPr>
        <w:t xml:space="preserve"> této Smlouvy.</w:t>
      </w:r>
    </w:p>
    <w:p w14:paraId="375C84AA" w14:textId="77777777" w:rsidR="00DC66BA" w:rsidRDefault="00DC66BA" w:rsidP="00DC66BA">
      <w:pPr>
        <w:pStyle w:val="Text1-2"/>
        <w:rPr>
          <w:rStyle w:val="Tun"/>
          <w:b w:val="0"/>
        </w:rPr>
      </w:pPr>
      <w:r>
        <w:rPr>
          <w:rStyle w:val="Tun"/>
          <w:b w:val="0"/>
        </w:rPr>
        <w:t xml:space="preserve">Zhotovitel je povinen umožnit TDS nebo TDS či objednatelem pověřené osobě nahlédnout do evidence zapojení znevýhodněných osob. Zhotovitel dokládá vždy do 5 dnů od konce kalendářního měsíce TDS nebo TDS či </w:t>
      </w:r>
      <w:r>
        <w:rPr>
          <w:rStyle w:val="Tun"/>
          <w:b w:val="0"/>
        </w:rPr>
        <w:lastRenderedPageBreak/>
        <w:t>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9677D">
        <w:lastRenderedPageBreak/>
        <w:t>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E03192"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w:t>
      </w:r>
      <w:r w:rsidRPr="00E03192">
        <w:t>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E03192"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E03192"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E03192"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E03192"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E03192"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E03192"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E03192"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E03192"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 xml:space="preserve">Smluvní strany podpisem této Smlouvy stvrzují, že jsou s obsahem TKP Staveb plně seznámeny a že v souladu s </w:t>
      </w:r>
      <w:proofErr w:type="spellStart"/>
      <w:r w:rsidRPr="00E374BA">
        <w:rPr>
          <w:highlight w:val="green"/>
        </w:rPr>
        <w:t>ust</w:t>
      </w:r>
      <w:proofErr w:type="spellEnd"/>
      <w:r w:rsidRPr="00E374BA">
        <w:rPr>
          <w:highlight w:val="green"/>
        </w:rPr>
        <w:t xml:space="preserve">. § 1751 občanského zákoníku TKP Staveb </w:t>
      </w:r>
      <w:proofErr w:type="gramStart"/>
      <w:r w:rsidRPr="00E374BA">
        <w:rPr>
          <w:highlight w:val="green"/>
        </w:rPr>
        <w:t>tvoří</w:t>
      </w:r>
      <w:proofErr w:type="gramEnd"/>
      <w:r w:rsidRPr="00E374BA">
        <w:rPr>
          <w:highlight w:val="green"/>
        </w:rPr>
        <w:t xml:space="preserve">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145EB8DE"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339E6622"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w:t>
            </w:r>
            <w:r w:rsidRPr="00E03192">
              <w:rPr>
                <w:sz w:val="18"/>
              </w:rPr>
              <w:t>vodovodních zařízení a dále pro případ odcizení 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F48BBD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03192">
              <w:rPr>
                <w:rFonts w:eastAsia="Times New Roman" w:cs="Calibri"/>
                <w:sz w:val="18"/>
                <w:lang w:eastAsia="cs-CZ"/>
              </w:rPr>
              <w:t>M</w:t>
            </w:r>
            <w:r w:rsidR="002C7A28" w:rsidRPr="00E03192">
              <w:rPr>
                <w:rFonts w:eastAsia="Times New Roman" w:cs="Calibri"/>
                <w:sz w:val="18"/>
                <w:lang w:eastAsia="cs-CZ"/>
              </w:rPr>
              <w:t xml:space="preserve">inimálně </w:t>
            </w:r>
            <w:r w:rsidR="00E03192" w:rsidRPr="00E03192">
              <w:rPr>
                <w:rFonts w:eastAsia="Times New Roman" w:cs="Calibri"/>
                <w:color w:val="000000"/>
                <w:sz w:val="18"/>
                <w:lang w:eastAsia="cs-CZ"/>
              </w:rPr>
              <w:t>25</w:t>
            </w:r>
            <w:r w:rsidR="002C7A28" w:rsidRPr="00E03192">
              <w:rPr>
                <w:rFonts w:eastAsia="Times New Roman" w:cs="Calibri"/>
                <w:color w:val="000000"/>
                <w:sz w:val="18"/>
                <w:lang w:eastAsia="cs-CZ"/>
              </w:rPr>
              <w:t xml:space="preserve"> mil. Kč</w:t>
            </w:r>
            <w:r w:rsidR="002C7A28" w:rsidRPr="00E03192">
              <w:rPr>
                <w:rFonts w:eastAsia="Times New Roman" w:cs="Calibri"/>
                <w:sz w:val="18"/>
                <w:lang w:eastAsia="cs-CZ"/>
              </w:rPr>
              <w:t xml:space="preserve"> na jednu pojistnou událost a </w:t>
            </w:r>
            <w:r w:rsidR="00E03192" w:rsidRPr="00E03192">
              <w:rPr>
                <w:rFonts w:eastAsia="Times New Roman" w:cs="Calibri"/>
                <w:sz w:val="18"/>
                <w:lang w:eastAsia="cs-CZ"/>
              </w:rPr>
              <w:t>40</w:t>
            </w:r>
            <w:r w:rsidR="002C7A28" w:rsidRPr="00E0319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F7AA7B9"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0EC77E9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9FEA4F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30EFB4D1"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2F1BEA6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2A8B740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E65988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5AB8955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495AEEF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699FF8C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01DCE04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B7529E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31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331C6"/>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03192"/>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0EAE"/>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564</TotalTime>
  <Pages>25</Pages>
  <Words>6930</Words>
  <Characters>40888</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72</cp:revision>
  <cp:lastPrinted>2019-09-27T11:09:00Z</cp:lastPrinted>
  <dcterms:created xsi:type="dcterms:W3CDTF">2019-03-19T08:45:00Z</dcterms:created>
  <dcterms:modified xsi:type="dcterms:W3CDTF">2023-03-02T12:31:00Z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